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D51" w:rsidRPr="00BD0A7E" w:rsidRDefault="00BD0A7E" w:rsidP="00BD0A7E">
      <w:pPr>
        <w:jc w:val="center"/>
        <w:rPr>
          <w:b/>
          <w:color w:val="333333"/>
          <w:sz w:val="27"/>
          <w:szCs w:val="27"/>
        </w:rPr>
      </w:pPr>
      <w:r w:rsidRPr="00BD0A7E">
        <w:rPr>
          <w:b/>
          <w:color w:val="333333"/>
          <w:sz w:val="27"/>
          <w:szCs w:val="27"/>
        </w:rPr>
        <w:t>Approaches to Re-Opening Campus: Preliminary Summary of Literature</w:t>
      </w:r>
    </w:p>
    <w:p w:rsidR="00F40D51" w:rsidRDefault="00F40D51" w:rsidP="00F40D51">
      <w:pPr>
        <w:rPr>
          <w:color w:val="000000" w:themeColor="text1"/>
          <w:sz w:val="27"/>
          <w:szCs w:val="27"/>
        </w:rPr>
      </w:pPr>
    </w:p>
    <w:p w:rsidR="00BD0A7E" w:rsidRPr="00BD0A7E" w:rsidRDefault="00BD0A7E" w:rsidP="00BD0A7E">
      <w:pPr>
        <w:rPr>
          <w:color w:val="000000" w:themeColor="text1"/>
        </w:rPr>
      </w:pPr>
      <w:r w:rsidRPr="00BD0A7E">
        <w:rPr>
          <w:color w:val="000000" w:themeColor="text1"/>
        </w:rPr>
        <w:t>Nicholas Christakis, a sociologist and physician at Yale University who is studying how the coronavirus spreads, argues</w:t>
      </w:r>
      <w:r>
        <w:rPr>
          <w:color w:val="000000" w:themeColor="text1"/>
        </w:rPr>
        <w:t xml:space="preserve"> in </w:t>
      </w:r>
      <w:hyperlink r:id="rId5" w:history="1">
        <w:r w:rsidRPr="00BD0A7E">
          <w:rPr>
            <w:rStyle w:val="Hyperlink"/>
          </w:rPr>
          <w:t xml:space="preserve">a recent NPR interview: </w:t>
        </w:r>
      </w:hyperlink>
      <w:r w:rsidRPr="00BD0A7E">
        <w:rPr>
          <w:color w:val="000000" w:themeColor="text1"/>
        </w:rPr>
        <w:t xml:space="preserve"> “I don't think there's any scenario under which it's business as usual on American college campuses in the fall … This idea — that we can somehow just get back to normal and go back to school in the fall, because we always have, it's not reasonable, actually. I think we're going to have to figure out other ways of doing this."</w:t>
      </w:r>
    </w:p>
    <w:p w:rsidR="00BD0A7E" w:rsidRPr="00F40D51" w:rsidRDefault="00BD0A7E" w:rsidP="00F40D51">
      <w:pPr>
        <w:rPr>
          <w:color w:val="000000" w:themeColor="text1"/>
          <w:sz w:val="27"/>
          <w:szCs w:val="27"/>
        </w:rPr>
      </w:pPr>
    </w:p>
    <w:p w:rsidR="00F40D51" w:rsidRPr="00BD0A7E" w:rsidRDefault="00F40D51" w:rsidP="00F40D51">
      <w:pPr>
        <w:rPr>
          <w:rFonts w:asciiTheme="minorHAnsi" w:hAnsiTheme="minorHAnsi" w:cstheme="minorHAnsi"/>
          <w:color w:val="333333"/>
        </w:rPr>
      </w:pPr>
      <w:r w:rsidRPr="00BD0A7E">
        <w:rPr>
          <w:rFonts w:asciiTheme="minorHAnsi" w:hAnsiTheme="minorHAnsi" w:cstheme="minorHAnsi"/>
          <w:b/>
          <w:color w:val="000000" w:themeColor="text1"/>
        </w:rPr>
        <w:t>Basic approach</w:t>
      </w:r>
      <w:r w:rsidRPr="00BD0A7E">
        <w:rPr>
          <w:rFonts w:asciiTheme="minorHAnsi" w:hAnsiTheme="minorHAnsi" w:cstheme="minorHAnsi"/>
          <w:color w:val="000000" w:themeColor="text1"/>
        </w:rPr>
        <w:t xml:space="preserve">: </w:t>
      </w:r>
      <w:r w:rsidRPr="00BD0A7E">
        <w:rPr>
          <w:rFonts w:asciiTheme="minorHAnsi" w:hAnsiTheme="minorHAnsi" w:cstheme="minorHAnsi"/>
          <w:color w:val="000000" w:themeColor="text1"/>
        </w:rPr>
        <w:t xml:space="preserve">remain hopeful about an in-person fall semester but understand that </w:t>
      </w:r>
      <w:r w:rsidRPr="00BD0A7E">
        <w:rPr>
          <w:rFonts w:asciiTheme="minorHAnsi" w:hAnsiTheme="minorHAnsi" w:cstheme="minorHAnsi"/>
          <w:color w:val="333333"/>
        </w:rPr>
        <w:t>classes might look different due to more safety precautions. “My own dream for the fall is that we will be able to bring everyone back to campus,” (interim Provost Jan) Love told </w:t>
      </w:r>
      <w:hyperlink r:id="rId6" w:history="1">
        <w:r w:rsidRPr="00BD0A7E">
          <w:rPr>
            <w:rStyle w:val="Hyperlink"/>
            <w:rFonts w:asciiTheme="minorHAnsi" w:hAnsiTheme="minorHAnsi" w:cstheme="minorHAnsi"/>
            <w:i/>
            <w:iCs/>
            <w:color w:val="007AAD"/>
            <w:u w:val="none"/>
          </w:rPr>
          <w:t>The Emory Wheel</w:t>
        </w:r>
      </w:hyperlink>
      <w:r w:rsidRPr="00BD0A7E">
        <w:rPr>
          <w:rFonts w:asciiTheme="minorHAnsi" w:hAnsiTheme="minorHAnsi" w:cstheme="minorHAnsi"/>
          <w:color w:val="333333"/>
        </w:rPr>
        <w:t>. But “it will obviously be [under] some new conditions to mitigate health concerns.”</w:t>
      </w:r>
    </w:p>
    <w:p w:rsidR="00F40D51" w:rsidRPr="00BD0A7E" w:rsidRDefault="00F40D51" w:rsidP="00F40D51">
      <w:pPr>
        <w:rPr>
          <w:rFonts w:asciiTheme="minorHAnsi" w:hAnsiTheme="minorHAnsi" w:cstheme="minorHAnsi"/>
          <w:color w:val="333333"/>
        </w:rPr>
      </w:pPr>
    </w:p>
    <w:p w:rsidR="00F40D51" w:rsidRPr="00BD0A7E" w:rsidRDefault="00F40D51" w:rsidP="00F40D51">
      <w:pPr>
        <w:rPr>
          <w:rFonts w:asciiTheme="minorHAnsi" w:hAnsiTheme="minorHAnsi" w:cstheme="minorHAnsi"/>
          <w:color w:val="333333"/>
        </w:rPr>
      </w:pPr>
      <w:r w:rsidRPr="00BD0A7E">
        <w:rPr>
          <w:rFonts w:asciiTheme="minorHAnsi" w:hAnsiTheme="minorHAnsi" w:cstheme="minorHAnsi"/>
          <w:b/>
          <w:color w:val="333333"/>
        </w:rPr>
        <w:t>Build contingencies</w:t>
      </w:r>
      <w:r w:rsidRPr="00BD0A7E">
        <w:rPr>
          <w:rFonts w:asciiTheme="minorHAnsi" w:hAnsiTheme="minorHAnsi" w:cstheme="minorHAnsi"/>
          <w:color w:val="333333"/>
        </w:rPr>
        <w:t>: changing conditions over the summer may require directional shifts toward remote or delayed opening.</w:t>
      </w:r>
    </w:p>
    <w:p w:rsidR="00F40D51" w:rsidRPr="00BD0A7E" w:rsidRDefault="00F40D51" w:rsidP="00F40D51">
      <w:pPr>
        <w:rPr>
          <w:rFonts w:asciiTheme="minorHAnsi" w:hAnsiTheme="minorHAnsi" w:cstheme="minorHAnsi"/>
          <w:color w:val="333333"/>
        </w:rPr>
      </w:pPr>
    </w:p>
    <w:p w:rsidR="00754A76" w:rsidRPr="00BD0A7E" w:rsidRDefault="00F40D51" w:rsidP="00F40D51">
      <w:pPr>
        <w:rPr>
          <w:rFonts w:asciiTheme="minorHAnsi" w:hAnsiTheme="minorHAnsi" w:cstheme="minorHAnsi"/>
          <w:bCs/>
          <w:color w:val="333333"/>
        </w:rPr>
      </w:pPr>
      <w:r w:rsidRPr="00BD0A7E">
        <w:rPr>
          <w:rFonts w:asciiTheme="minorHAnsi" w:hAnsiTheme="minorHAnsi" w:cstheme="minorHAnsi"/>
          <w:b/>
          <w:color w:val="333333"/>
        </w:rPr>
        <w:t>Rationale for Basic Approach</w:t>
      </w:r>
      <w:r w:rsidRPr="00BD0A7E">
        <w:rPr>
          <w:rFonts w:asciiTheme="minorHAnsi" w:hAnsiTheme="minorHAnsi" w:cstheme="minorHAnsi"/>
          <w:color w:val="333333"/>
        </w:rPr>
        <w:t xml:space="preserve">: </w:t>
      </w:r>
      <w:r w:rsidR="00754A76" w:rsidRPr="00BD0A7E">
        <w:rPr>
          <w:rFonts w:asciiTheme="minorHAnsi" w:hAnsiTheme="minorHAnsi" w:cstheme="minorHAnsi"/>
          <w:color w:val="333333"/>
        </w:rPr>
        <w:t xml:space="preserve">Any decisions about reopening the CSU campus </w:t>
      </w:r>
      <w:r w:rsidR="009D7A0B" w:rsidRPr="00BD0A7E">
        <w:rPr>
          <w:rFonts w:asciiTheme="minorHAnsi" w:hAnsiTheme="minorHAnsi" w:cstheme="minorHAnsi"/>
          <w:color w:val="333333"/>
        </w:rPr>
        <w:t>must</w:t>
      </w:r>
      <w:r w:rsidR="00754A76" w:rsidRPr="00BD0A7E">
        <w:rPr>
          <w:rFonts w:asciiTheme="minorHAnsi" w:hAnsiTheme="minorHAnsi" w:cstheme="minorHAnsi"/>
          <w:color w:val="333333"/>
        </w:rPr>
        <w:t xml:space="preserve"> take into account the state and national conditions. </w:t>
      </w:r>
      <w:r w:rsidRPr="00BD0A7E">
        <w:rPr>
          <w:rFonts w:asciiTheme="minorHAnsi" w:hAnsiTheme="minorHAnsi" w:cstheme="minorHAnsi"/>
          <w:color w:val="333333"/>
        </w:rPr>
        <w:t xml:space="preserve">We are moving into Phase II, a state-by-state reopening as outlines by the American Enterprise Institute’s </w:t>
      </w:r>
      <w:hyperlink r:id="rId7" w:history="1">
        <w:r w:rsidRPr="00BD0A7E">
          <w:rPr>
            <w:rStyle w:val="Hyperlink"/>
            <w:rFonts w:asciiTheme="minorHAnsi" w:hAnsiTheme="minorHAnsi" w:cstheme="minorHAnsi"/>
            <w:bCs/>
            <w:i/>
          </w:rPr>
          <w:t>National coronavirus response: A road map to reopening</w:t>
        </w:r>
        <w:r w:rsidRPr="00BD0A7E">
          <w:rPr>
            <w:rStyle w:val="Hyperlink"/>
            <w:rFonts w:asciiTheme="minorHAnsi" w:hAnsiTheme="minorHAnsi" w:cstheme="minorHAnsi"/>
            <w:bCs/>
          </w:rPr>
          <w:t>.</w:t>
        </w:r>
      </w:hyperlink>
      <w:r w:rsidRPr="00BD0A7E">
        <w:rPr>
          <w:rFonts w:asciiTheme="minorHAnsi" w:hAnsiTheme="minorHAnsi" w:cstheme="minorHAnsi"/>
          <w:bCs/>
          <w:color w:val="333333"/>
        </w:rPr>
        <w:t xml:space="preserve"> Colorado is slightly ahead of other states, with Governor Polis announcing a “safer at home” gradual reopening of businesses beginning May 1 in his recent public address (</w:t>
      </w:r>
      <w:hyperlink r:id="rId8" w:history="1">
        <w:r w:rsidRPr="00BD0A7E">
          <w:rPr>
            <w:rStyle w:val="Hyperlink"/>
            <w:rFonts w:asciiTheme="minorHAnsi" w:hAnsiTheme="minorHAnsi" w:cstheme="minorHAnsi"/>
            <w:bCs/>
          </w:rPr>
          <w:t>4.22.20 Presentation</w:t>
        </w:r>
      </w:hyperlink>
      <w:r w:rsidRPr="00BD0A7E">
        <w:rPr>
          <w:rFonts w:asciiTheme="minorHAnsi" w:hAnsiTheme="minorHAnsi" w:cstheme="minorHAnsi"/>
          <w:bCs/>
          <w:color w:val="333333"/>
        </w:rPr>
        <w:t xml:space="preserve">). </w:t>
      </w:r>
    </w:p>
    <w:p w:rsidR="00754A76" w:rsidRPr="00BD0A7E" w:rsidRDefault="00754A76" w:rsidP="00F40D51">
      <w:pPr>
        <w:rPr>
          <w:rFonts w:asciiTheme="minorHAnsi" w:hAnsiTheme="minorHAnsi" w:cstheme="minorHAnsi"/>
          <w:bCs/>
          <w:color w:val="333333"/>
        </w:rPr>
      </w:pPr>
    </w:p>
    <w:p w:rsidR="00754A76" w:rsidRPr="00BD0A7E" w:rsidRDefault="00754A76" w:rsidP="00754A76">
      <w:pPr>
        <w:rPr>
          <w:rFonts w:asciiTheme="minorHAnsi" w:hAnsiTheme="minorHAnsi" w:cstheme="minorHAnsi"/>
          <w:bCs/>
          <w:color w:val="333333"/>
        </w:rPr>
      </w:pPr>
      <w:r w:rsidRPr="00BD0A7E">
        <w:rPr>
          <w:rFonts w:asciiTheme="minorHAnsi" w:hAnsiTheme="minorHAnsi" w:cstheme="minorHAnsi"/>
          <w:bCs/>
          <w:color w:val="333333"/>
        </w:rPr>
        <w:t xml:space="preserve">According to the </w:t>
      </w:r>
      <w:hyperlink r:id="rId9" w:history="1">
        <w:r w:rsidRPr="00BD0A7E">
          <w:rPr>
            <w:rStyle w:val="Hyperlink"/>
            <w:rFonts w:asciiTheme="minorHAnsi" w:hAnsiTheme="minorHAnsi" w:cstheme="minorHAnsi"/>
            <w:bCs/>
            <w:i/>
          </w:rPr>
          <w:t>Public Health Principles for a Phased Reopening During COVID-19: Guide for Governors, Center for a Health Security</w:t>
        </w:r>
      </w:hyperlink>
      <w:r w:rsidRPr="00BD0A7E">
        <w:rPr>
          <w:rFonts w:asciiTheme="minorHAnsi" w:hAnsiTheme="minorHAnsi" w:cstheme="minorHAnsi"/>
          <w:bCs/>
          <w:i/>
          <w:color w:val="333333"/>
        </w:rPr>
        <w:t xml:space="preserve"> </w:t>
      </w:r>
      <w:r w:rsidRPr="00BD0A7E">
        <w:rPr>
          <w:rFonts w:asciiTheme="minorHAnsi" w:hAnsiTheme="minorHAnsi" w:cstheme="minorHAnsi"/>
          <w:bCs/>
          <w:color w:val="333333"/>
        </w:rPr>
        <w:t xml:space="preserve">(Bloomberg School of Public Health, Johns Hopkins University) a modified hierarchy of controls a series of mitigation measure for COVID-19 can look like: </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xml:space="preserve">• Physical Distancing — wherever possible having people work or access the business from home; this should include restructuring responsibilities to minimize the numbers of workers that need to be physically present. </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xml:space="preserve">• Engineering controls — creating physical barriers between people • Administrative controls — redistributing responsibilities to reduce contact between individuals, using technology to facilitate communication </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xml:space="preserve">• PPE — having people wear nonmedical cloth masks </w:t>
      </w:r>
    </w:p>
    <w:p w:rsidR="00754A76" w:rsidRPr="00BD0A7E" w:rsidRDefault="00754A76" w:rsidP="00754A76">
      <w:pPr>
        <w:rPr>
          <w:rFonts w:asciiTheme="minorHAnsi" w:hAnsiTheme="minorHAnsi" w:cstheme="minorHAnsi"/>
          <w:bCs/>
          <w:color w:val="333333"/>
        </w:rPr>
      </w:pPr>
    </w:p>
    <w:p w:rsidR="00754A76" w:rsidRPr="00BD0A7E" w:rsidRDefault="00754A76" w:rsidP="00754A76">
      <w:pPr>
        <w:rPr>
          <w:rFonts w:asciiTheme="minorHAnsi" w:hAnsiTheme="minorHAnsi" w:cstheme="minorHAnsi"/>
          <w:bCs/>
          <w:color w:val="333333"/>
        </w:rPr>
      </w:pPr>
      <w:r w:rsidRPr="00BD0A7E">
        <w:rPr>
          <w:rFonts w:asciiTheme="minorHAnsi" w:hAnsiTheme="minorHAnsi" w:cstheme="minorHAnsi"/>
          <w:bCs/>
          <w:color w:val="333333"/>
        </w:rPr>
        <w:t xml:space="preserve">Specific measures to mitigate the risk of infection to protect individuals across all business types may include: </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xml:space="preserve">• Use of nonmedical cloth masks </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Incorporating engineering controls such as physical barriers where possible</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Reconfiguring space to enable people to be located apart (ideally, at least 6 feet)</w:t>
      </w:r>
    </w:p>
    <w:p w:rsidR="00754A76" w:rsidRPr="00BD0A7E" w:rsidRDefault="00754A76" w:rsidP="00754A76">
      <w:pPr>
        <w:ind w:left="720"/>
        <w:rPr>
          <w:rFonts w:asciiTheme="minorHAnsi" w:hAnsiTheme="minorHAnsi" w:cstheme="minorHAnsi"/>
          <w:bCs/>
          <w:color w:val="333333"/>
        </w:rPr>
      </w:pPr>
      <w:r w:rsidRPr="00BD0A7E">
        <w:rPr>
          <w:rFonts w:asciiTheme="minorHAnsi" w:hAnsiTheme="minorHAnsi" w:cstheme="minorHAnsi"/>
          <w:bCs/>
          <w:color w:val="333333"/>
        </w:rPr>
        <w:t>• Supporting and enabling employees to remain at home if they are unwell or have been in close contact with someone who is sick</w:t>
      </w:r>
    </w:p>
    <w:p w:rsidR="00754A76" w:rsidRPr="00BD0A7E" w:rsidRDefault="00754A76" w:rsidP="00F40D51">
      <w:pPr>
        <w:rPr>
          <w:rFonts w:asciiTheme="minorHAnsi" w:hAnsiTheme="minorHAnsi" w:cstheme="minorHAnsi"/>
          <w:bCs/>
          <w:color w:val="333333"/>
        </w:rPr>
      </w:pPr>
    </w:p>
    <w:p w:rsidR="00F40D51" w:rsidRDefault="00BD0A7E" w:rsidP="00F40D51">
      <w:pPr>
        <w:rPr>
          <w:rFonts w:asciiTheme="minorHAnsi" w:hAnsiTheme="minorHAnsi" w:cstheme="minorHAnsi"/>
          <w:color w:val="333333"/>
        </w:rPr>
      </w:pPr>
      <w:r>
        <w:rPr>
          <w:rFonts w:asciiTheme="minorHAnsi" w:hAnsiTheme="minorHAnsi" w:cstheme="minorHAnsi"/>
          <w:color w:val="333333"/>
        </w:rPr>
        <w:lastRenderedPageBreak/>
        <w:t xml:space="preserve">CSU is in essence a small and rather densely populated city and approaches to reopening campus should be modelled after the </w:t>
      </w:r>
      <w:r w:rsidR="00754A76" w:rsidRPr="00BD0A7E">
        <w:rPr>
          <w:rFonts w:asciiTheme="minorHAnsi" w:hAnsiTheme="minorHAnsi" w:cstheme="minorHAnsi"/>
          <w:color w:val="333333"/>
        </w:rPr>
        <w:t xml:space="preserve">emerging plans to reopen </w:t>
      </w:r>
      <w:r>
        <w:rPr>
          <w:rFonts w:asciiTheme="minorHAnsi" w:hAnsiTheme="minorHAnsi" w:cstheme="minorHAnsi"/>
          <w:color w:val="333333"/>
        </w:rPr>
        <w:t xml:space="preserve">urban </w:t>
      </w:r>
      <w:r w:rsidR="00F40D51" w:rsidRPr="00BD0A7E">
        <w:rPr>
          <w:rFonts w:asciiTheme="minorHAnsi" w:hAnsiTheme="minorHAnsi" w:cstheme="minorHAnsi"/>
          <w:color w:val="333333"/>
        </w:rPr>
        <w:t xml:space="preserve">business in </w:t>
      </w:r>
      <w:r>
        <w:rPr>
          <w:rFonts w:asciiTheme="minorHAnsi" w:hAnsiTheme="minorHAnsi" w:cstheme="minorHAnsi"/>
          <w:color w:val="333333"/>
        </w:rPr>
        <w:t xml:space="preserve">the various </w:t>
      </w:r>
      <w:r w:rsidR="00F40D51" w:rsidRPr="00BD0A7E">
        <w:rPr>
          <w:rFonts w:asciiTheme="minorHAnsi" w:hAnsiTheme="minorHAnsi" w:cstheme="minorHAnsi"/>
          <w:color w:val="333333"/>
        </w:rPr>
        <w:t xml:space="preserve">states. One of the earlier and still better outlines for this comes from California. In their </w:t>
      </w:r>
      <w:hyperlink r:id="rId10" w:history="1">
        <w:r w:rsidR="00F40D51" w:rsidRPr="00BD0A7E">
          <w:rPr>
            <w:rStyle w:val="Hyperlink"/>
            <w:rFonts w:asciiTheme="minorHAnsi" w:hAnsiTheme="minorHAnsi" w:cstheme="minorHAnsi"/>
          </w:rPr>
          <w:t>Roadmap</w:t>
        </w:r>
      </w:hyperlink>
      <w:r w:rsidR="00F40D51" w:rsidRPr="00BD0A7E">
        <w:rPr>
          <w:rFonts w:asciiTheme="minorHAnsi" w:hAnsiTheme="minorHAnsi" w:cstheme="minorHAnsi"/>
          <w:color w:val="333333"/>
        </w:rPr>
        <w:t xml:space="preserve"> the state government identifies six key indicators. These include such things as testing, protection of vulner</w:t>
      </w:r>
      <w:r w:rsidR="00754A76" w:rsidRPr="00BD0A7E">
        <w:rPr>
          <w:rFonts w:asciiTheme="minorHAnsi" w:hAnsiTheme="minorHAnsi" w:cstheme="minorHAnsi"/>
          <w:color w:val="333333"/>
        </w:rPr>
        <w:t>able populations; two point are important for the campus context:</w:t>
      </w:r>
    </w:p>
    <w:p w:rsidR="00BD0A7E" w:rsidRPr="00BD0A7E" w:rsidRDefault="00BD0A7E" w:rsidP="00F40D51">
      <w:pPr>
        <w:rPr>
          <w:rFonts w:asciiTheme="minorHAnsi" w:hAnsiTheme="minorHAnsi" w:cstheme="minorHAnsi"/>
          <w:color w:val="333333"/>
        </w:rPr>
      </w:pPr>
    </w:p>
    <w:p w:rsidR="00754A76" w:rsidRPr="00BD0A7E" w:rsidRDefault="00F40D51" w:rsidP="00754A76">
      <w:pPr>
        <w:ind w:left="720"/>
        <w:rPr>
          <w:rFonts w:asciiTheme="minorHAnsi" w:hAnsiTheme="minorHAnsi" w:cstheme="minorHAnsi"/>
          <w:color w:val="333333"/>
        </w:rPr>
      </w:pPr>
      <w:r w:rsidRPr="00BD0A7E">
        <w:rPr>
          <w:rFonts w:asciiTheme="minorHAnsi" w:hAnsiTheme="minorHAnsi" w:cstheme="minorHAnsi"/>
          <w:color w:val="333333"/>
        </w:rPr>
        <w:t>5. The ability for businesses, schools, and child care facilities to support physical distancing</w:t>
      </w:r>
    </w:p>
    <w:p w:rsidR="00F40D51" w:rsidRPr="00BD0A7E" w:rsidRDefault="00F40D51" w:rsidP="00754A76">
      <w:pPr>
        <w:ind w:left="720"/>
        <w:rPr>
          <w:rFonts w:asciiTheme="minorHAnsi" w:hAnsiTheme="minorHAnsi" w:cstheme="minorHAnsi"/>
          <w:color w:val="333333"/>
        </w:rPr>
      </w:pPr>
      <w:r w:rsidRPr="00BD0A7E">
        <w:rPr>
          <w:rFonts w:asciiTheme="minorHAnsi" w:hAnsiTheme="minorHAnsi" w:cstheme="minorHAnsi"/>
          <w:color w:val="333333"/>
        </w:rPr>
        <w:t>6. The ability to determine when to reinstitute certain measures, such as the stay-at-home orders, if necessary</w:t>
      </w:r>
    </w:p>
    <w:p w:rsidR="00F40D51" w:rsidRPr="00BD0A7E" w:rsidRDefault="00F40D51" w:rsidP="00F40D51">
      <w:pPr>
        <w:rPr>
          <w:rFonts w:asciiTheme="minorHAnsi" w:hAnsiTheme="minorHAnsi" w:cstheme="minorHAnsi"/>
          <w:color w:val="333333"/>
        </w:rPr>
      </w:pPr>
    </w:p>
    <w:p w:rsidR="00F40D51" w:rsidRPr="00BD0A7E" w:rsidRDefault="00F40D51" w:rsidP="00F40D51">
      <w:pPr>
        <w:rPr>
          <w:rFonts w:asciiTheme="minorHAnsi" w:hAnsiTheme="minorHAnsi" w:cstheme="minorHAnsi"/>
          <w:color w:val="333333"/>
        </w:rPr>
      </w:pPr>
      <w:r w:rsidRPr="00BD0A7E">
        <w:rPr>
          <w:rFonts w:asciiTheme="minorHAnsi" w:hAnsiTheme="minorHAnsi" w:cstheme="minorHAnsi"/>
          <w:color w:val="333333"/>
        </w:rPr>
        <w:t>The California plan goes on to make the point that “things will look different” including reopened restaurants with fewer tables; face coverings in public and; “new opportunities will arise to support mitigation.”</w:t>
      </w:r>
    </w:p>
    <w:p w:rsidR="00F40D51" w:rsidRPr="00BD0A7E" w:rsidRDefault="00F40D51" w:rsidP="00F40D51">
      <w:pPr>
        <w:rPr>
          <w:rFonts w:asciiTheme="minorHAnsi" w:hAnsiTheme="minorHAnsi" w:cstheme="minorHAnsi"/>
          <w:color w:val="333333"/>
        </w:rPr>
      </w:pPr>
    </w:p>
    <w:p w:rsidR="00754A76" w:rsidRPr="00BD0A7E" w:rsidRDefault="00BD0A7E" w:rsidP="00F40D51">
      <w:pPr>
        <w:rPr>
          <w:rFonts w:asciiTheme="minorHAnsi" w:hAnsiTheme="minorHAnsi" w:cstheme="minorHAnsi"/>
          <w:b/>
          <w:color w:val="333333"/>
        </w:rPr>
      </w:pPr>
      <w:r>
        <w:rPr>
          <w:rFonts w:asciiTheme="minorHAnsi" w:hAnsiTheme="minorHAnsi" w:cstheme="minorHAnsi"/>
          <w:b/>
          <w:color w:val="333333"/>
        </w:rPr>
        <w:t xml:space="preserve">Scenarios for </w:t>
      </w:r>
      <w:r w:rsidR="00864861" w:rsidRPr="00BD0A7E">
        <w:rPr>
          <w:rFonts w:asciiTheme="minorHAnsi" w:hAnsiTheme="minorHAnsi" w:cstheme="minorHAnsi"/>
          <w:b/>
          <w:color w:val="333333"/>
        </w:rPr>
        <w:t>Fall 2020</w:t>
      </w:r>
    </w:p>
    <w:p w:rsidR="00864861" w:rsidRPr="00BD0A7E" w:rsidRDefault="00864861" w:rsidP="00864861">
      <w:pPr>
        <w:rPr>
          <w:rFonts w:asciiTheme="minorHAnsi" w:hAnsiTheme="minorHAnsi" w:cstheme="minorHAnsi"/>
          <w:color w:val="333333"/>
        </w:rPr>
      </w:pPr>
      <w:r w:rsidRPr="00BD0A7E">
        <w:rPr>
          <w:rFonts w:asciiTheme="minorHAnsi" w:hAnsiTheme="minorHAnsi" w:cstheme="minorHAnsi"/>
          <w:color w:val="333333"/>
        </w:rPr>
        <w:t>With the national and state situation changing so quickly, it is difficult to predict what the August and September will bring. One widely frequently cited higher education futurist, Bryan Alexander, “</w:t>
      </w:r>
      <w:hyperlink r:id="rId11" w:history="1">
        <w:r w:rsidRPr="00BD0A7E">
          <w:rPr>
            <w:rStyle w:val="Hyperlink"/>
            <w:rFonts w:asciiTheme="minorHAnsi" w:hAnsiTheme="minorHAnsi" w:cstheme="minorHAnsi"/>
          </w:rPr>
          <w:t>Higher education in fall 2020: three pandemic scenarios</w:t>
        </w:r>
      </w:hyperlink>
      <w:r w:rsidRPr="00BD0A7E">
        <w:rPr>
          <w:rFonts w:asciiTheme="minorHAnsi" w:hAnsiTheme="minorHAnsi" w:cstheme="minorHAnsi"/>
          <w:color w:val="333333"/>
        </w:rPr>
        <w:t>” suggests that there are three basic scenarios:</w:t>
      </w:r>
    </w:p>
    <w:p w:rsidR="00864861" w:rsidRPr="00BD0A7E" w:rsidRDefault="00864861" w:rsidP="00864861">
      <w:pPr>
        <w:rPr>
          <w:rFonts w:asciiTheme="minorHAnsi" w:hAnsiTheme="minorHAnsi" w:cstheme="minorHAnsi"/>
          <w:color w:val="333333"/>
        </w:rPr>
      </w:pPr>
    </w:p>
    <w:p w:rsidR="00864861" w:rsidRPr="00BD0A7E" w:rsidRDefault="00864861" w:rsidP="00864861">
      <w:pPr>
        <w:numPr>
          <w:ilvl w:val="0"/>
          <w:numId w:val="2"/>
        </w:numPr>
        <w:rPr>
          <w:rFonts w:asciiTheme="minorHAnsi" w:hAnsiTheme="minorHAnsi" w:cstheme="minorHAnsi"/>
          <w:color w:val="333333"/>
        </w:rPr>
      </w:pPr>
      <w:r w:rsidRPr="00BD0A7E">
        <w:rPr>
          <w:rFonts w:asciiTheme="minorHAnsi" w:hAnsiTheme="minorHAnsi" w:cstheme="minorHAnsi"/>
          <w:color w:val="333333"/>
          <w:u w:val="single"/>
        </w:rPr>
        <w:t>The Post-Pandemic Campus:</w:t>
      </w:r>
      <w:r w:rsidRPr="00BD0A7E">
        <w:rPr>
          <w:rFonts w:asciiTheme="minorHAnsi" w:hAnsiTheme="minorHAnsi" w:cstheme="minorHAnsi"/>
          <w:color w:val="333333"/>
        </w:rPr>
        <w:t xml:space="preserve"> pandemic has passed and colleges and universities have re-opened for in-person classes and research, albeit with fewer students. Key features are data tracking and surveillance; remote options remain for vulnerable populations. There is increased bimodal work (courses offered simultaneously F2F and online, with accompanying blended pedagogy. Shifts in student academic interests to public health, medicine, business, social sciences</w:t>
      </w:r>
    </w:p>
    <w:p w:rsidR="00864861" w:rsidRPr="00BD0A7E" w:rsidRDefault="00864861" w:rsidP="00E52F0D">
      <w:pPr>
        <w:numPr>
          <w:ilvl w:val="0"/>
          <w:numId w:val="2"/>
        </w:numPr>
        <w:rPr>
          <w:rFonts w:asciiTheme="minorHAnsi" w:hAnsiTheme="minorHAnsi" w:cstheme="minorHAnsi"/>
          <w:color w:val="333333"/>
        </w:rPr>
      </w:pPr>
      <w:r w:rsidRPr="00BD0A7E">
        <w:rPr>
          <w:rFonts w:asciiTheme="minorHAnsi" w:hAnsiTheme="minorHAnsi" w:cstheme="minorHAnsi"/>
          <w:color w:val="333333"/>
          <w:u w:val="single"/>
        </w:rPr>
        <w:t>COVID Fall:</w:t>
      </w:r>
      <w:r w:rsidRPr="00BD0A7E">
        <w:rPr>
          <w:rFonts w:asciiTheme="minorHAnsi" w:hAnsiTheme="minorHAnsi" w:cstheme="minorHAnsi"/>
          <w:color w:val="333333"/>
        </w:rPr>
        <w:t xml:space="preserve"> COVID-19 see continued global outbreaks, spread largely unchecked perhaps because of failure of testing. Few, or no, options for therapeutics and especially no short term vaccine. Teaching, research, student services, administrative online. Pedagogues, curriculum see major shifts.</w:t>
      </w:r>
    </w:p>
    <w:p w:rsidR="00BD0A36" w:rsidRPr="00BD0A7E" w:rsidRDefault="00864861" w:rsidP="00BD0A36">
      <w:pPr>
        <w:numPr>
          <w:ilvl w:val="0"/>
          <w:numId w:val="2"/>
        </w:numPr>
        <w:rPr>
          <w:rFonts w:asciiTheme="minorHAnsi" w:hAnsiTheme="minorHAnsi" w:cstheme="minorHAnsi"/>
          <w:color w:val="333333"/>
        </w:rPr>
      </w:pPr>
      <w:r w:rsidRPr="00BD0A7E">
        <w:rPr>
          <w:rFonts w:asciiTheme="minorHAnsi" w:hAnsiTheme="minorHAnsi" w:cstheme="minorHAnsi"/>
          <w:color w:val="333333"/>
          <w:u w:val="single"/>
        </w:rPr>
        <w:t>Toggle Term:</w:t>
      </w:r>
      <w:r w:rsidRPr="00BD0A7E">
        <w:rPr>
          <w:rFonts w:asciiTheme="minorHAnsi" w:hAnsiTheme="minorHAnsi" w:cstheme="minorHAnsi"/>
          <w:color w:val="333333"/>
        </w:rPr>
        <w:t xml:space="preserve"> fall 2020 is marked by rapidly succeeding viral waves. </w:t>
      </w:r>
      <w:r w:rsidR="00BD0A36" w:rsidRPr="00BD0A7E">
        <w:rPr>
          <w:rFonts w:asciiTheme="minorHAnsi" w:hAnsiTheme="minorHAnsi" w:cstheme="minorHAnsi"/>
          <w:color w:val="333333"/>
        </w:rPr>
        <w:t>Governments “toggle between states of lockdown and openness….” Colleges and universities are now in perpetual crisis mode. </w:t>
      </w:r>
    </w:p>
    <w:p w:rsidR="00BD0A36" w:rsidRPr="00BD0A7E" w:rsidRDefault="00BD0A36" w:rsidP="00BD0A7E">
      <w:pPr>
        <w:rPr>
          <w:rFonts w:asciiTheme="minorHAnsi" w:hAnsiTheme="minorHAnsi" w:cstheme="minorHAnsi"/>
          <w:color w:val="333333"/>
        </w:rPr>
      </w:pPr>
    </w:p>
    <w:p w:rsidR="00754A76" w:rsidRPr="00BD0A7E" w:rsidRDefault="00754A76" w:rsidP="00F40D51">
      <w:pPr>
        <w:rPr>
          <w:rFonts w:asciiTheme="minorHAnsi" w:hAnsiTheme="minorHAnsi" w:cstheme="minorHAnsi"/>
          <w:b/>
          <w:color w:val="333333"/>
        </w:rPr>
      </w:pPr>
      <w:r w:rsidRPr="00BD0A7E">
        <w:rPr>
          <w:rFonts w:asciiTheme="minorHAnsi" w:hAnsiTheme="minorHAnsi" w:cstheme="minorHAnsi"/>
          <w:b/>
          <w:color w:val="333333"/>
        </w:rPr>
        <w:t>Reducing density</w:t>
      </w:r>
    </w:p>
    <w:p w:rsidR="00F40D51" w:rsidRPr="00BD0A7E" w:rsidRDefault="00BD0A7E" w:rsidP="00F40D51">
      <w:pPr>
        <w:rPr>
          <w:rFonts w:asciiTheme="minorHAnsi" w:hAnsiTheme="minorHAnsi" w:cstheme="minorHAnsi"/>
          <w:b/>
          <w:bCs/>
          <w:color w:val="333333"/>
        </w:rPr>
      </w:pPr>
      <w:r>
        <w:rPr>
          <w:rFonts w:asciiTheme="minorHAnsi" w:hAnsiTheme="minorHAnsi" w:cstheme="minorHAnsi"/>
          <w:color w:val="333333"/>
        </w:rPr>
        <w:t xml:space="preserve">Alexander’s “pot-pandemic campus” is the most hopeful scenario, one dependent on the development of robust testing and tracing. It also indicated that additional </w:t>
      </w:r>
      <w:r w:rsidR="00F40D51" w:rsidRPr="00BD0A7E">
        <w:rPr>
          <w:rFonts w:asciiTheme="minorHAnsi" w:hAnsiTheme="minorHAnsi" w:cstheme="minorHAnsi"/>
          <w:color w:val="333333"/>
        </w:rPr>
        <w:t xml:space="preserve">mitigation </w:t>
      </w:r>
      <w:r>
        <w:rPr>
          <w:rFonts w:asciiTheme="minorHAnsi" w:hAnsiTheme="minorHAnsi" w:cstheme="minorHAnsi"/>
          <w:color w:val="333333"/>
        </w:rPr>
        <w:t xml:space="preserve">strategies are those that </w:t>
      </w:r>
      <w:r w:rsidR="009A48C8">
        <w:rPr>
          <w:rFonts w:asciiTheme="minorHAnsi" w:hAnsiTheme="minorHAnsi" w:cstheme="minorHAnsi"/>
          <w:b/>
          <w:bCs/>
          <w:color w:val="333333"/>
        </w:rPr>
        <w:t>focus</w:t>
      </w:r>
      <w:r w:rsidR="00F40D51" w:rsidRPr="00BD0A7E">
        <w:rPr>
          <w:rFonts w:asciiTheme="minorHAnsi" w:hAnsiTheme="minorHAnsi" w:cstheme="minorHAnsi"/>
          <w:b/>
          <w:bCs/>
          <w:color w:val="333333"/>
        </w:rPr>
        <w:t xml:space="preserve"> our efforts on reducing th</w:t>
      </w:r>
      <w:r w:rsidR="009A48C8">
        <w:rPr>
          <w:rFonts w:asciiTheme="minorHAnsi" w:hAnsiTheme="minorHAnsi" w:cstheme="minorHAnsi"/>
          <w:b/>
          <w:bCs/>
          <w:color w:val="333333"/>
        </w:rPr>
        <w:t xml:space="preserve">e density of students/faculty through pedagogy, technology, and changes to scheduling and </w:t>
      </w:r>
      <w:r w:rsidR="00F40D51" w:rsidRPr="00BD0A7E">
        <w:rPr>
          <w:rFonts w:asciiTheme="minorHAnsi" w:hAnsiTheme="minorHAnsi" w:cstheme="minorHAnsi"/>
          <w:b/>
          <w:bCs/>
          <w:color w:val="333333"/>
        </w:rPr>
        <w:t>instructional efforts.</w:t>
      </w:r>
    </w:p>
    <w:p w:rsidR="00F40D51" w:rsidRPr="00BD0A7E" w:rsidRDefault="00F40D51" w:rsidP="00F40D51">
      <w:pPr>
        <w:rPr>
          <w:rFonts w:asciiTheme="minorHAnsi" w:hAnsiTheme="minorHAnsi" w:cstheme="minorHAnsi"/>
        </w:rPr>
      </w:pPr>
    </w:p>
    <w:p w:rsidR="0048212A" w:rsidRPr="00BD0A7E" w:rsidRDefault="0048212A" w:rsidP="0048212A">
      <w:pPr>
        <w:rPr>
          <w:rFonts w:asciiTheme="minorHAnsi" w:hAnsiTheme="minorHAnsi" w:cstheme="minorHAnsi"/>
        </w:rPr>
      </w:pPr>
      <w:r w:rsidRPr="00BD0A7E">
        <w:rPr>
          <w:rFonts w:asciiTheme="minorHAnsi" w:hAnsiTheme="minorHAnsi" w:cstheme="minorHAnsi"/>
        </w:rPr>
        <w:t xml:space="preserve">This seem to be the basis for a pandemic plan made public by </w:t>
      </w:r>
      <w:hyperlink r:id="rId12" w:history="1">
        <w:r w:rsidRPr="00BD0A7E">
          <w:rPr>
            <w:rStyle w:val="Hyperlink"/>
            <w:rFonts w:asciiTheme="minorHAnsi" w:hAnsiTheme="minorHAnsi" w:cstheme="minorHAnsi"/>
          </w:rPr>
          <w:t>UC Boulder</w:t>
        </w:r>
      </w:hyperlink>
      <w:r w:rsidRPr="00BD0A7E">
        <w:rPr>
          <w:rFonts w:asciiTheme="minorHAnsi" w:hAnsiTheme="minorHAnsi" w:cstheme="minorHAnsi"/>
        </w:rPr>
        <w:t>:</w:t>
      </w:r>
    </w:p>
    <w:p w:rsidR="0048212A" w:rsidRPr="00BD0A7E" w:rsidRDefault="0048212A" w:rsidP="0048212A">
      <w:pPr>
        <w:numPr>
          <w:ilvl w:val="0"/>
          <w:numId w:val="3"/>
        </w:numPr>
        <w:tabs>
          <w:tab w:val="num" w:pos="720"/>
        </w:tabs>
        <w:rPr>
          <w:rFonts w:asciiTheme="minorHAnsi" w:hAnsiTheme="minorHAnsi" w:cstheme="minorHAnsi"/>
        </w:rPr>
      </w:pPr>
      <w:r w:rsidRPr="00BD0A7E">
        <w:rPr>
          <w:rFonts w:asciiTheme="minorHAnsi" w:hAnsiTheme="minorHAnsi" w:cstheme="minorHAnsi"/>
        </w:rPr>
        <w:lastRenderedPageBreak/>
        <w:t>Our plan will explore our academic experience to feature the expanded use of blended in-person and remote learning, flexible course delivery models, student cohorts and the possibility of condensed terms.</w:t>
      </w:r>
    </w:p>
    <w:p w:rsidR="0048212A" w:rsidRPr="00BD0A7E" w:rsidRDefault="0048212A" w:rsidP="0048212A">
      <w:pPr>
        <w:numPr>
          <w:ilvl w:val="0"/>
          <w:numId w:val="3"/>
        </w:numPr>
        <w:tabs>
          <w:tab w:val="num" w:pos="720"/>
        </w:tabs>
        <w:rPr>
          <w:rFonts w:asciiTheme="minorHAnsi" w:hAnsiTheme="minorHAnsi" w:cstheme="minorHAnsi"/>
        </w:rPr>
      </w:pPr>
      <w:r w:rsidRPr="00BD0A7E">
        <w:rPr>
          <w:rFonts w:asciiTheme="minorHAnsi" w:hAnsiTheme="minorHAnsi" w:cstheme="minorHAnsi"/>
        </w:rPr>
        <w:t>It will identify needs for modified laboratory and studio experiences to safely bring students and faculty together while ensuring academic integrity and respecting disciplinary uniqueness.</w:t>
      </w:r>
    </w:p>
    <w:p w:rsidR="0048212A" w:rsidRPr="00BD0A7E" w:rsidRDefault="0048212A" w:rsidP="0048212A">
      <w:pPr>
        <w:numPr>
          <w:ilvl w:val="0"/>
          <w:numId w:val="3"/>
        </w:numPr>
        <w:tabs>
          <w:tab w:val="num" w:pos="720"/>
        </w:tabs>
        <w:rPr>
          <w:rFonts w:asciiTheme="minorHAnsi" w:hAnsiTheme="minorHAnsi" w:cstheme="minorHAnsi"/>
        </w:rPr>
      </w:pPr>
      <w:r w:rsidRPr="00BD0A7E">
        <w:rPr>
          <w:rFonts w:asciiTheme="minorHAnsi" w:hAnsiTheme="minorHAnsi" w:cstheme="minorHAnsi"/>
        </w:rPr>
        <w:t>It will incorporate the rapid ability to support our faculty, instructors, teaching assistants and graduate-student instructorships (GPTIs) in scaling to broad-based, robust remote teaching and learning.</w:t>
      </w:r>
    </w:p>
    <w:p w:rsidR="0048212A" w:rsidRPr="00BD0A7E" w:rsidRDefault="0048212A" w:rsidP="00F40D51">
      <w:pPr>
        <w:rPr>
          <w:rFonts w:asciiTheme="minorHAnsi" w:hAnsiTheme="minorHAnsi" w:cstheme="minorHAnsi"/>
        </w:rPr>
      </w:pPr>
    </w:p>
    <w:p w:rsidR="0048212A" w:rsidRPr="00BD0A7E" w:rsidRDefault="00F40D51" w:rsidP="0048212A">
      <w:pPr>
        <w:rPr>
          <w:rStyle w:val="s1"/>
          <w:rFonts w:asciiTheme="minorHAnsi" w:hAnsiTheme="minorHAnsi" w:cstheme="minorHAnsi"/>
        </w:rPr>
      </w:pPr>
      <w:r w:rsidRPr="00BD0A7E">
        <w:rPr>
          <w:rStyle w:val="s1"/>
          <w:rFonts w:asciiTheme="minorHAnsi" w:hAnsiTheme="minorHAnsi" w:cstheme="minorHAnsi"/>
        </w:rPr>
        <w:t xml:space="preserve">All this is a hopeful approach for a physical return, </w:t>
      </w:r>
      <w:r w:rsidRPr="009A48C8">
        <w:rPr>
          <w:rStyle w:val="s1"/>
          <w:rFonts w:asciiTheme="minorHAnsi" w:hAnsiTheme="minorHAnsi" w:cstheme="minorHAnsi"/>
          <w:b/>
        </w:rPr>
        <w:t>At the same time we are doing these things, we must also prepare for the possibility of once again going fully remote or “the ability to reinstitute certain measures” as the California plan states.</w:t>
      </w:r>
      <w:r w:rsidR="00BD0A36" w:rsidRPr="00BD0A7E">
        <w:rPr>
          <w:rStyle w:val="s1"/>
          <w:rFonts w:asciiTheme="minorHAnsi" w:hAnsiTheme="minorHAnsi" w:cstheme="minorHAnsi"/>
        </w:rPr>
        <w:t xml:space="preserve"> </w:t>
      </w:r>
      <w:r w:rsidR="009A48C8">
        <w:rPr>
          <w:rStyle w:val="s1"/>
          <w:rFonts w:asciiTheme="minorHAnsi" w:hAnsiTheme="minorHAnsi" w:cstheme="minorHAnsi"/>
        </w:rPr>
        <w:t>We may find ourselves in one of the other two of Alexander’s scenarios or in conditions not yet foreseen.</w:t>
      </w:r>
    </w:p>
    <w:p w:rsidR="0048212A" w:rsidRPr="00BD0A7E" w:rsidRDefault="0048212A" w:rsidP="0048212A">
      <w:pPr>
        <w:rPr>
          <w:rStyle w:val="s1"/>
          <w:rFonts w:asciiTheme="minorHAnsi" w:hAnsiTheme="minorHAnsi" w:cstheme="minorHAnsi"/>
        </w:rPr>
      </w:pPr>
    </w:p>
    <w:p w:rsidR="0048212A" w:rsidRPr="00BD0A7E" w:rsidRDefault="009A48C8" w:rsidP="0048212A">
      <w:pPr>
        <w:rPr>
          <w:rFonts w:asciiTheme="minorHAnsi" w:hAnsiTheme="minorHAnsi" w:cstheme="minorHAnsi"/>
        </w:rPr>
      </w:pPr>
      <w:r>
        <w:rPr>
          <w:rStyle w:val="s1"/>
          <w:rFonts w:asciiTheme="minorHAnsi" w:hAnsiTheme="minorHAnsi" w:cstheme="minorHAnsi"/>
        </w:rPr>
        <w:t xml:space="preserve">Clearly, there are unforeseen variables. </w:t>
      </w:r>
      <w:r w:rsidR="0048212A" w:rsidRPr="00BD0A7E">
        <w:rPr>
          <w:rStyle w:val="s1"/>
          <w:rFonts w:asciiTheme="minorHAnsi" w:hAnsiTheme="minorHAnsi" w:cstheme="minorHAnsi"/>
        </w:rPr>
        <w:t>A r</w:t>
      </w:r>
      <w:r w:rsidR="00BD0A36" w:rsidRPr="00BD0A7E">
        <w:rPr>
          <w:rStyle w:val="s1"/>
          <w:rFonts w:asciiTheme="minorHAnsi" w:hAnsiTheme="minorHAnsi" w:cstheme="minorHAnsi"/>
        </w:rPr>
        <w:t xml:space="preserve">ecent (and not yet peer reviewed) paper by Kim A. </w:t>
      </w:r>
      <w:r w:rsidR="00BD0A36" w:rsidRPr="00BD0A7E">
        <w:rPr>
          <w:rFonts w:asciiTheme="minorHAnsi" w:hAnsiTheme="minorHAnsi" w:cstheme="minorHAnsi"/>
        </w:rPr>
        <w:t>Whedon and Benjamin Cornwell (“</w:t>
      </w:r>
      <w:hyperlink r:id="rId13" w:history="1">
        <w:r w:rsidR="00BD0A36" w:rsidRPr="00BD0A7E">
          <w:rPr>
            <w:rStyle w:val="Hyperlink"/>
            <w:rFonts w:asciiTheme="minorHAnsi" w:hAnsiTheme="minorHAnsi" w:cstheme="minorHAnsi"/>
          </w:rPr>
          <w:t>The Small World Network of College Classes: Classes: Implications for Epidemic Spread on a University Campus</w:t>
        </w:r>
      </w:hyperlink>
      <w:r w:rsidR="00BD0A36" w:rsidRPr="00BD0A7E">
        <w:rPr>
          <w:rFonts w:asciiTheme="minorHAnsi" w:hAnsiTheme="minorHAnsi" w:cstheme="minorHAnsi"/>
        </w:rPr>
        <w:t>” </w:t>
      </w:r>
      <w:r w:rsidR="0048212A" w:rsidRPr="00BD0A7E">
        <w:rPr>
          <w:rFonts w:asciiTheme="minorHAnsi" w:hAnsiTheme="minorHAnsi" w:cstheme="minorHAnsi"/>
        </w:rPr>
        <w:t xml:space="preserve">cautions that networks of students created by course schedules are closely linked. They use a standard two-mode (student-to-course) </w:t>
      </w:r>
      <w:r w:rsidR="009D7A0B">
        <w:rPr>
          <w:rFonts w:asciiTheme="minorHAnsi" w:hAnsiTheme="minorHAnsi" w:cstheme="minorHAnsi"/>
        </w:rPr>
        <w:t xml:space="preserve">“small world” </w:t>
      </w:r>
      <w:r w:rsidR="0048212A" w:rsidRPr="00BD0A7E">
        <w:rPr>
          <w:rFonts w:asciiTheme="minorHAnsi" w:hAnsiTheme="minorHAnsi" w:cstheme="minorHAnsi"/>
        </w:rPr>
        <w:t xml:space="preserve">network analysis based on actual enrollments at Cornell university.  </w:t>
      </w:r>
      <w:r w:rsidR="00AF425B" w:rsidRPr="00BD0A7E">
        <w:rPr>
          <w:rFonts w:asciiTheme="minorHAnsi" w:hAnsiTheme="minorHAnsi" w:cstheme="minorHAnsi"/>
        </w:rPr>
        <w:t>essentially</w:t>
      </w:r>
      <w:r w:rsidR="0048212A" w:rsidRPr="00BD0A7E">
        <w:rPr>
          <w:rFonts w:asciiTheme="minorHAnsi" w:hAnsiTheme="minorHAnsi" w:cstheme="minorHAnsi"/>
        </w:rPr>
        <w:t>, students are "linked" together in a network by co-presence in courses However, according to CSU’s Dr. Sammy Zahran (personal communication) taking selected “courses on-line would have the effect of increasing the average degree of separation between students from 2.1 to 2.6, constituting a 24% increase in separation.  This would diminish the quality of instruction, probably, but would help to limit transmission risk.” He continues “With respect to block or cohort scheduling, the paper has little to say in this direction, but it would have the effect of severing indirect ties and would make the effort of contact tracing (should a student contract the disease) substantially easier.”</w:t>
      </w:r>
    </w:p>
    <w:p w:rsidR="0048212A" w:rsidRPr="00BD0A7E" w:rsidRDefault="0048212A" w:rsidP="0048212A">
      <w:pPr>
        <w:rPr>
          <w:rFonts w:asciiTheme="minorHAnsi" w:hAnsiTheme="minorHAnsi" w:cstheme="minorHAnsi"/>
        </w:rPr>
      </w:pPr>
    </w:p>
    <w:p w:rsidR="0048212A" w:rsidRPr="00BD0A7E" w:rsidRDefault="0048212A" w:rsidP="0048212A">
      <w:pPr>
        <w:rPr>
          <w:rFonts w:asciiTheme="minorHAnsi" w:hAnsiTheme="minorHAnsi" w:cstheme="minorHAnsi"/>
          <w:b/>
        </w:rPr>
      </w:pPr>
      <w:r w:rsidRPr="00BD0A7E">
        <w:rPr>
          <w:rFonts w:asciiTheme="minorHAnsi" w:hAnsiTheme="minorHAnsi" w:cstheme="minorHAnsi"/>
          <w:b/>
        </w:rPr>
        <w:t>Specific CSU Actions:</w:t>
      </w:r>
    </w:p>
    <w:p w:rsidR="0048212A" w:rsidRPr="00BD0A7E" w:rsidRDefault="0048212A" w:rsidP="0048212A">
      <w:pPr>
        <w:rPr>
          <w:rFonts w:asciiTheme="minorHAnsi" w:hAnsiTheme="minorHAnsi" w:cstheme="minorHAnsi"/>
        </w:rPr>
      </w:pPr>
    </w:p>
    <w:p w:rsidR="00D07FC4" w:rsidRPr="00BD0A7E" w:rsidRDefault="00D07FC4" w:rsidP="00D07FC4">
      <w:pPr>
        <w:rPr>
          <w:rFonts w:asciiTheme="minorHAnsi" w:hAnsiTheme="minorHAnsi" w:cstheme="minorHAnsi"/>
        </w:rPr>
      </w:pPr>
      <w:r w:rsidRPr="00BD0A7E">
        <w:rPr>
          <w:rFonts w:asciiTheme="minorHAnsi" w:hAnsiTheme="minorHAnsi" w:cstheme="minorHAnsi"/>
        </w:rPr>
        <w:t>Ask the CSU pandemic taskforce to establish their best timetable for testing, outlining types of testing, costs, availability, and other key elements of a testing/contact tracing routine. According to the Bloomberg School of Public Health adequate testing, contact tracing and isolation are factors in the reopening of business in states. The</w:t>
      </w:r>
      <w:r w:rsidR="00AF425B">
        <w:rPr>
          <w:rFonts w:asciiTheme="minorHAnsi" w:hAnsiTheme="minorHAnsi" w:cstheme="minorHAnsi"/>
        </w:rPr>
        <w:t>y</w:t>
      </w:r>
      <w:bookmarkStart w:id="0" w:name="_GoBack"/>
      <w:bookmarkEnd w:id="0"/>
      <w:r w:rsidRPr="00BD0A7E">
        <w:rPr>
          <w:rFonts w:asciiTheme="minorHAnsi" w:hAnsiTheme="minorHAnsi" w:cstheme="minorHAnsi"/>
        </w:rPr>
        <w:t xml:space="preserve"> suggest that states reopen when:</w:t>
      </w:r>
    </w:p>
    <w:p w:rsidR="00D07FC4" w:rsidRPr="00BD0A7E" w:rsidRDefault="00D07FC4" w:rsidP="00D07FC4">
      <w:pPr>
        <w:numPr>
          <w:ilvl w:val="0"/>
          <w:numId w:val="6"/>
        </w:numPr>
        <w:rPr>
          <w:rFonts w:asciiTheme="minorHAnsi" w:hAnsiTheme="minorHAnsi" w:cstheme="minorHAnsi"/>
        </w:rPr>
      </w:pPr>
      <w:r w:rsidRPr="00BD0A7E">
        <w:rPr>
          <w:rFonts w:asciiTheme="minorHAnsi" w:hAnsiTheme="minorHAnsi" w:cstheme="minorHAnsi"/>
        </w:rPr>
        <w:t>The number of new cases has declined for at least 14 days</w:t>
      </w:r>
    </w:p>
    <w:p w:rsidR="00D07FC4" w:rsidRPr="00BD0A7E" w:rsidRDefault="00D07FC4" w:rsidP="00D07FC4">
      <w:pPr>
        <w:numPr>
          <w:ilvl w:val="0"/>
          <w:numId w:val="6"/>
        </w:numPr>
        <w:rPr>
          <w:rFonts w:asciiTheme="minorHAnsi" w:hAnsiTheme="minorHAnsi" w:cstheme="minorHAnsi"/>
        </w:rPr>
      </w:pPr>
      <w:r w:rsidRPr="00BD0A7E">
        <w:rPr>
          <w:rFonts w:asciiTheme="minorHAnsi" w:hAnsiTheme="minorHAnsi" w:cstheme="minorHAnsi"/>
        </w:rPr>
        <w:t xml:space="preserve">Rapid diagnostic testing capacity is sufficient to test, at minimum, all people with COVID-19 symptoms, including mild cases, as well as close contacts and those in essential roles; </w:t>
      </w:r>
    </w:p>
    <w:p w:rsidR="00D07FC4" w:rsidRPr="00BD0A7E" w:rsidRDefault="00D07FC4" w:rsidP="00D07FC4">
      <w:pPr>
        <w:numPr>
          <w:ilvl w:val="0"/>
          <w:numId w:val="6"/>
        </w:numPr>
        <w:rPr>
          <w:rFonts w:asciiTheme="minorHAnsi" w:hAnsiTheme="minorHAnsi" w:cstheme="minorHAnsi"/>
        </w:rPr>
      </w:pPr>
      <w:r w:rsidRPr="00BD0A7E">
        <w:rPr>
          <w:rFonts w:asciiTheme="minorHAnsi" w:hAnsiTheme="minorHAnsi" w:cstheme="minorHAnsi"/>
        </w:rPr>
        <w:t>The healthcare system is able to safely care for all patients, including providing appropriate personal protective equipment for healthcare workers; and</w:t>
      </w:r>
    </w:p>
    <w:p w:rsidR="0048212A" w:rsidRPr="00BD0A7E" w:rsidRDefault="00D07FC4" w:rsidP="00D07FC4">
      <w:pPr>
        <w:numPr>
          <w:ilvl w:val="0"/>
          <w:numId w:val="6"/>
        </w:numPr>
        <w:rPr>
          <w:rFonts w:asciiTheme="minorHAnsi" w:hAnsiTheme="minorHAnsi" w:cstheme="minorHAnsi"/>
        </w:rPr>
      </w:pPr>
      <w:r w:rsidRPr="00BD0A7E">
        <w:rPr>
          <w:rFonts w:asciiTheme="minorHAnsi" w:hAnsiTheme="minorHAnsi" w:cstheme="minorHAnsi"/>
        </w:rPr>
        <w:t>There is sufficient public health capacity to conduct contact tracing for all new cases and their close contacts.</w:t>
      </w:r>
    </w:p>
    <w:p w:rsidR="00D07FC4" w:rsidRPr="00BD0A7E" w:rsidRDefault="00D07FC4" w:rsidP="0048212A">
      <w:pPr>
        <w:rPr>
          <w:rFonts w:asciiTheme="minorHAnsi" w:hAnsiTheme="minorHAnsi" w:cstheme="minorHAnsi"/>
        </w:rPr>
      </w:pPr>
    </w:p>
    <w:p w:rsidR="0048212A" w:rsidRPr="00BD0A7E" w:rsidRDefault="00D07FC4" w:rsidP="0048212A">
      <w:pPr>
        <w:rPr>
          <w:rFonts w:asciiTheme="minorHAnsi" w:hAnsiTheme="minorHAnsi" w:cstheme="minorHAnsi"/>
        </w:rPr>
      </w:pPr>
      <w:r w:rsidRPr="00BD0A7E">
        <w:rPr>
          <w:rFonts w:asciiTheme="minorHAnsi" w:hAnsiTheme="minorHAnsi" w:cstheme="minorHAnsi"/>
        </w:rPr>
        <w:t>With assurances that diagnostic testing is in place, we should plan to reduce the density of the academic environment, especially the classroom. This includes r</w:t>
      </w:r>
      <w:r w:rsidR="0048212A" w:rsidRPr="00BD0A7E">
        <w:rPr>
          <w:rFonts w:asciiTheme="minorHAnsi" w:hAnsiTheme="minorHAnsi" w:cstheme="minorHAnsi"/>
        </w:rPr>
        <w:t>educ</w:t>
      </w:r>
      <w:r w:rsidRPr="00BD0A7E">
        <w:rPr>
          <w:rFonts w:asciiTheme="minorHAnsi" w:hAnsiTheme="minorHAnsi" w:cstheme="minorHAnsi"/>
        </w:rPr>
        <w:t>ing</w:t>
      </w:r>
      <w:r w:rsidR="0048212A" w:rsidRPr="00BD0A7E">
        <w:rPr>
          <w:rFonts w:asciiTheme="minorHAnsi" w:hAnsiTheme="minorHAnsi" w:cstheme="minorHAnsi"/>
        </w:rPr>
        <w:t xml:space="preserve"> the number of courses being offered F2F, develop</w:t>
      </w:r>
      <w:r w:rsidRPr="00BD0A7E">
        <w:rPr>
          <w:rFonts w:asciiTheme="minorHAnsi" w:hAnsiTheme="minorHAnsi" w:cstheme="minorHAnsi"/>
        </w:rPr>
        <w:t>ing</w:t>
      </w:r>
      <w:r w:rsidR="0048212A" w:rsidRPr="00BD0A7E">
        <w:rPr>
          <w:rFonts w:asciiTheme="minorHAnsi" w:hAnsiTheme="minorHAnsi" w:cstheme="minorHAnsi"/>
        </w:rPr>
        <w:t xml:space="preserve"> lower enrollment patterns, and emphasize hybrid instructional opportunities. Here are more specific tactics:  </w:t>
      </w:r>
    </w:p>
    <w:p w:rsidR="0048212A" w:rsidRPr="00BD0A7E" w:rsidRDefault="0048212A" w:rsidP="0048212A">
      <w:pPr>
        <w:rPr>
          <w:rFonts w:asciiTheme="minorHAnsi" w:hAnsiTheme="minorHAnsi" w:cstheme="minorHAnsi"/>
        </w:rPr>
      </w:pP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Lower enrollment caps in all courses.</w:t>
      </w: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Move classes to larger classrooms (yes, I know that there’s already a classroom shortage but see below).</w:t>
      </w: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For multi-section courses, require that a certain percentage (</w:t>
      </w:r>
      <w:r w:rsidR="00AF425B" w:rsidRPr="00BD0A7E">
        <w:rPr>
          <w:rFonts w:asciiTheme="minorHAnsi" w:hAnsiTheme="minorHAnsi" w:cstheme="minorHAnsi"/>
        </w:rPr>
        <w:t>40 %</w:t>
      </w:r>
      <w:r w:rsidRPr="00BD0A7E">
        <w:rPr>
          <w:rFonts w:asciiTheme="minorHAnsi" w:hAnsiTheme="minorHAnsi" w:cstheme="minorHAnsi"/>
        </w:rPr>
        <w:t>?) be offered in a remote/online version. This has several advantages: sections for faculty with health concerns to teach; lowering density on campus, freeing classroom space.</w:t>
      </w: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Aim for 40% overall remote offerings in the fall in lieu of F2F instruction</w:t>
      </w: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All courses: develop ability to teach in multiple modalities and preparation to mix and switch from F2F to remote learning</w:t>
      </w:r>
    </w:p>
    <w:p w:rsidR="0048212A" w:rsidRPr="00BD0A7E" w:rsidRDefault="0048212A" w:rsidP="0048212A">
      <w:pPr>
        <w:numPr>
          <w:ilvl w:val="0"/>
          <w:numId w:val="1"/>
        </w:numPr>
        <w:rPr>
          <w:rFonts w:asciiTheme="minorHAnsi" w:hAnsiTheme="minorHAnsi" w:cstheme="minorHAnsi"/>
        </w:rPr>
      </w:pPr>
      <w:r w:rsidRPr="00BD0A7E">
        <w:rPr>
          <w:rFonts w:asciiTheme="minorHAnsi" w:hAnsiTheme="minorHAnsi" w:cstheme="minorHAnsi"/>
        </w:rPr>
        <w:t>Require large enrollment courses to be taught remotely or in a bimodal fashion such as flipped classrooms (remote lectures</w:t>
      </w:r>
      <w:r w:rsidR="00D07FC4" w:rsidRPr="00BD0A7E">
        <w:rPr>
          <w:rFonts w:asciiTheme="minorHAnsi" w:hAnsiTheme="minorHAnsi" w:cstheme="minorHAnsi"/>
        </w:rPr>
        <w:t>, small breakout)</w:t>
      </w:r>
      <w:r w:rsidRPr="00BD0A7E">
        <w:rPr>
          <w:rFonts w:asciiTheme="minorHAnsi" w:hAnsiTheme="minorHAnsi" w:cstheme="minorHAnsi"/>
        </w:rPr>
        <w:t xml:space="preserve">; </w:t>
      </w:r>
      <w:r w:rsidR="00D07FC4" w:rsidRPr="00BD0A7E">
        <w:rPr>
          <w:rFonts w:asciiTheme="minorHAnsi" w:hAnsiTheme="minorHAnsi" w:cstheme="minorHAnsi"/>
        </w:rPr>
        <w:t xml:space="preserve">for those </w:t>
      </w:r>
      <w:r w:rsidR="009A48C8">
        <w:rPr>
          <w:rFonts w:asciiTheme="minorHAnsi" w:hAnsiTheme="minorHAnsi" w:cstheme="minorHAnsi"/>
        </w:rPr>
        <w:t>where</w:t>
      </w:r>
      <w:r w:rsidR="00D07FC4" w:rsidRPr="00BD0A7E">
        <w:rPr>
          <w:rFonts w:asciiTheme="minorHAnsi" w:hAnsiTheme="minorHAnsi" w:cstheme="minorHAnsi"/>
        </w:rPr>
        <w:t xml:space="preserve"> this is not possible </w:t>
      </w:r>
      <w:r w:rsidRPr="00BD0A7E">
        <w:rPr>
          <w:rFonts w:asciiTheme="minorHAnsi" w:hAnsiTheme="minorHAnsi" w:cstheme="minorHAnsi"/>
        </w:rPr>
        <w:t>break them into smaller capped courses.</w:t>
      </w:r>
    </w:p>
    <w:p w:rsidR="009A48C8" w:rsidRDefault="0048212A" w:rsidP="0048212A">
      <w:pPr>
        <w:numPr>
          <w:ilvl w:val="0"/>
          <w:numId w:val="1"/>
        </w:numPr>
        <w:rPr>
          <w:rFonts w:asciiTheme="minorHAnsi" w:hAnsiTheme="minorHAnsi" w:cstheme="minorHAnsi"/>
        </w:rPr>
      </w:pPr>
      <w:r w:rsidRPr="00BD0A7E">
        <w:rPr>
          <w:rFonts w:asciiTheme="minorHAnsi" w:hAnsiTheme="minorHAnsi" w:cstheme="minorHAnsi"/>
        </w:rPr>
        <w:t>Allow low enrollment, signature experience courses (I.e. studio art), small ensemble music, and core courses like composition</w:t>
      </w:r>
      <w:r w:rsidR="009A48C8">
        <w:rPr>
          <w:rFonts w:asciiTheme="minorHAnsi" w:hAnsiTheme="minorHAnsi" w:cstheme="minorHAnsi"/>
        </w:rPr>
        <w:t xml:space="preserve">. This would include labs, too; all with intensified hygienic practices. </w:t>
      </w:r>
    </w:p>
    <w:p w:rsidR="0048212A" w:rsidRPr="00BD0A7E" w:rsidRDefault="009A48C8" w:rsidP="0048212A">
      <w:pPr>
        <w:numPr>
          <w:ilvl w:val="0"/>
          <w:numId w:val="1"/>
        </w:numPr>
        <w:rPr>
          <w:rFonts w:asciiTheme="minorHAnsi" w:hAnsiTheme="minorHAnsi" w:cstheme="minorHAnsi"/>
        </w:rPr>
      </w:pPr>
      <w:r>
        <w:rPr>
          <w:rFonts w:asciiTheme="minorHAnsi" w:hAnsiTheme="minorHAnsi" w:cstheme="minorHAnsi"/>
        </w:rPr>
        <w:t xml:space="preserve">We should look at the use of Saturday as well, to see if </w:t>
      </w:r>
      <w:r w:rsidRPr="009A48C8">
        <w:rPr>
          <w:rFonts w:asciiTheme="minorHAnsi" w:hAnsiTheme="minorHAnsi" w:cstheme="minorHAnsi"/>
        </w:rPr>
        <w:t>another density control option is to add Saturday to the schedule.</w:t>
      </w:r>
    </w:p>
    <w:p w:rsidR="00D07FC4" w:rsidRDefault="00D07FC4" w:rsidP="00D07FC4">
      <w:pPr>
        <w:rPr>
          <w:sz w:val="27"/>
          <w:szCs w:val="27"/>
        </w:rPr>
      </w:pPr>
    </w:p>
    <w:p w:rsidR="0048212A" w:rsidRPr="0048212A" w:rsidRDefault="0048212A" w:rsidP="0048212A">
      <w:pPr>
        <w:rPr>
          <w:sz w:val="27"/>
          <w:szCs w:val="27"/>
        </w:rPr>
      </w:pPr>
    </w:p>
    <w:p w:rsidR="00F40D51" w:rsidRDefault="00F40D51" w:rsidP="00F40D51">
      <w:pPr>
        <w:rPr>
          <w:rStyle w:val="s1"/>
          <w:sz w:val="27"/>
          <w:szCs w:val="27"/>
        </w:rPr>
      </w:pPr>
    </w:p>
    <w:p w:rsidR="00F40D51" w:rsidRDefault="00F40D51" w:rsidP="00F40D51">
      <w:pPr>
        <w:rPr>
          <w:rStyle w:val="s1"/>
          <w:sz w:val="27"/>
          <w:szCs w:val="27"/>
        </w:rPr>
      </w:pPr>
    </w:p>
    <w:p w:rsidR="00BD0A36" w:rsidRDefault="00BD0A36" w:rsidP="00F40D51">
      <w:pPr>
        <w:rPr>
          <w:rStyle w:val="s1"/>
          <w:sz w:val="27"/>
          <w:szCs w:val="27"/>
        </w:rPr>
      </w:pPr>
    </w:p>
    <w:p w:rsidR="00BD0A36" w:rsidRDefault="00BD0A36" w:rsidP="00F40D51"/>
    <w:sectPr w:rsidR="00BD0A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90708"/>
    <w:multiLevelType w:val="multilevel"/>
    <w:tmpl w:val="B628C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1473E9A"/>
    <w:multiLevelType w:val="hybridMultilevel"/>
    <w:tmpl w:val="A83A59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046F5"/>
    <w:multiLevelType w:val="multilevel"/>
    <w:tmpl w:val="C94AAD1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3AC43A9E"/>
    <w:multiLevelType w:val="hybridMultilevel"/>
    <w:tmpl w:val="28E2E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56442"/>
    <w:multiLevelType w:val="multilevel"/>
    <w:tmpl w:val="1CC41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6547361"/>
    <w:multiLevelType w:val="hybridMultilevel"/>
    <w:tmpl w:val="59FC7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D51"/>
    <w:rsid w:val="0048212A"/>
    <w:rsid w:val="00535AAC"/>
    <w:rsid w:val="00754A76"/>
    <w:rsid w:val="00864861"/>
    <w:rsid w:val="008E62CD"/>
    <w:rsid w:val="009A48C8"/>
    <w:rsid w:val="009D7A0B"/>
    <w:rsid w:val="00AF425B"/>
    <w:rsid w:val="00BD0A36"/>
    <w:rsid w:val="00BD0A7E"/>
    <w:rsid w:val="00D07FC4"/>
    <w:rsid w:val="00F40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C560A"/>
  <w15:chartTrackingRefBased/>
  <w15:docId w15:val="{724360F9-2D4F-4342-BCA1-9C1B2D47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D51"/>
    <w:pPr>
      <w:spacing w:after="0" w:line="240" w:lineRule="auto"/>
    </w:pPr>
    <w:rPr>
      <w:rFonts w:ascii="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0D51"/>
    <w:rPr>
      <w:color w:val="0000FF"/>
      <w:u w:val="single"/>
    </w:rPr>
  </w:style>
  <w:style w:type="paragraph" w:customStyle="1" w:styleId="p1">
    <w:name w:val="p1"/>
    <w:basedOn w:val="Normal"/>
    <w:uiPriority w:val="99"/>
    <w:rsid w:val="00F40D51"/>
    <w:pPr>
      <w:spacing w:before="100" w:beforeAutospacing="1" w:after="100" w:afterAutospacing="1"/>
    </w:pPr>
  </w:style>
  <w:style w:type="paragraph" w:customStyle="1" w:styleId="p2">
    <w:name w:val="p2"/>
    <w:basedOn w:val="Normal"/>
    <w:uiPriority w:val="99"/>
    <w:rsid w:val="00F40D51"/>
    <w:pPr>
      <w:spacing w:before="100" w:beforeAutospacing="1" w:after="100" w:afterAutospacing="1"/>
    </w:pPr>
  </w:style>
  <w:style w:type="character" w:customStyle="1" w:styleId="s1">
    <w:name w:val="s1"/>
    <w:basedOn w:val="DefaultParagraphFont"/>
    <w:rsid w:val="00F40D51"/>
  </w:style>
  <w:style w:type="character" w:styleId="Emphasis">
    <w:name w:val="Emphasis"/>
    <w:basedOn w:val="DefaultParagraphFont"/>
    <w:uiPriority w:val="20"/>
    <w:qFormat/>
    <w:rsid w:val="00F40D51"/>
    <w:rPr>
      <w:i/>
      <w:iCs/>
    </w:rPr>
  </w:style>
  <w:style w:type="character" w:styleId="FollowedHyperlink">
    <w:name w:val="FollowedHyperlink"/>
    <w:basedOn w:val="DefaultParagraphFont"/>
    <w:uiPriority w:val="99"/>
    <w:semiHidden/>
    <w:unhideWhenUsed/>
    <w:rsid w:val="00BD0A36"/>
    <w:rPr>
      <w:color w:val="954F72" w:themeColor="followedHyperlink"/>
      <w:u w:val="single"/>
    </w:rPr>
  </w:style>
  <w:style w:type="paragraph" w:styleId="PlainText">
    <w:name w:val="Plain Text"/>
    <w:basedOn w:val="Normal"/>
    <w:link w:val="PlainTextChar"/>
    <w:uiPriority w:val="99"/>
    <w:semiHidden/>
    <w:unhideWhenUsed/>
    <w:rsid w:val="0048212A"/>
    <w:rPr>
      <w:rFonts w:ascii="Consolas" w:hAnsi="Consolas"/>
      <w:sz w:val="21"/>
      <w:szCs w:val="21"/>
    </w:rPr>
  </w:style>
  <w:style w:type="character" w:customStyle="1" w:styleId="PlainTextChar">
    <w:name w:val="Plain Text Char"/>
    <w:basedOn w:val="DefaultParagraphFont"/>
    <w:link w:val="PlainText"/>
    <w:uiPriority w:val="99"/>
    <w:semiHidden/>
    <w:rsid w:val="0048212A"/>
    <w:rPr>
      <w:rFonts w:ascii="Consolas" w:hAnsi="Consolas" w:cs="Times New Roman"/>
      <w:sz w:val="21"/>
      <w:szCs w:val="21"/>
    </w:rPr>
  </w:style>
  <w:style w:type="paragraph" w:styleId="ListParagraph">
    <w:name w:val="List Paragraph"/>
    <w:basedOn w:val="Normal"/>
    <w:uiPriority w:val="34"/>
    <w:qFormat/>
    <w:rsid w:val="00D07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55734">
      <w:bodyDiv w:val="1"/>
      <w:marLeft w:val="0"/>
      <w:marRight w:val="0"/>
      <w:marTop w:val="0"/>
      <w:marBottom w:val="0"/>
      <w:divBdr>
        <w:top w:val="none" w:sz="0" w:space="0" w:color="auto"/>
        <w:left w:val="none" w:sz="0" w:space="0" w:color="auto"/>
        <w:bottom w:val="none" w:sz="0" w:space="0" w:color="auto"/>
        <w:right w:val="none" w:sz="0" w:space="0" w:color="auto"/>
      </w:divBdr>
    </w:div>
    <w:div w:id="118386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LsPjoU_Rz877HTItyv1sbmyST6bg4oa5/view" TargetMode="External"/><Relationship Id="rId13" Type="http://schemas.openxmlformats.org/officeDocument/2006/relationships/hyperlink" Target="https://osf.io/t7n9f/"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aei.org/research-products/report/national-coronavirus-response-a-road-map-to-reopening/" TargetMode="External"/><Relationship Id="rId12" Type="http://schemas.openxmlformats.org/officeDocument/2006/relationships/hyperlink" Target="https://www.colorado.edu/coronavirus"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emorywheel.com/provost-remains-hopeful-for-in-person-classes-come-fall/" TargetMode="External"/><Relationship Id="rId11" Type="http://schemas.openxmlformats.org/officeDocument/2006/relationships/hyperlink" Target="https://bryanalexander.org/future-of-education/higher-education-in-fall-2020-three-pandemic-scenarios/" TargetMode="External"/><Relationship Id="rId5" Type="http://schemas.openxmlformats.org/officeDocument/2006/relationships/hyperlink" Target="https://www.npr.org/2020/04/20/833254570/college-brace-for-financial-trouble-and-a-big-question-will-they-reopen-in-fall" TargetMode="External"/><Relationship Id="rId15" Type="http://schemas.openxmlformats.org/officeDocument/2006/relationships/theme" Target="theme/theme1.xml"/><Relationship Id="rId10" Type="http://schemas.openxmlformats.org/officeDocument/2006/relationships/hyperlink" Target="https://www.gov.ca.gov/wp-content/uploads/2020/04/California-Roadmap-to-Modify-the-Stay-at-Home-Order.pdf" TargetMode="External"/><Relationship Id="rId4" Type="http://schemas.openxmlformats.org/officeDocument/2006/relationships/webSettings" Target="webSettings.xml"/><Relationship Id="rId9" Type="http://schemas.openxmlformats.org/officeDocument/2006/relationships/hyperlink" Target="https://www.centerforhealthsecurity.org/our-work/pubs_archive/pubs-pdfs/2020/200417-reopening-guidance-governors.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9695FC-3F07-418F-8E1E-A2ACADA8DBA8}"/>
</file>

<file path=customXml/itemProps2.xml><?xml version="1.0" encoding="utf-8"?>
<ds:datastoreItem xmlns:ds="http://schemas.openxmlformats.org/officeDocument/2006/customXml" ds:itemID="{BDC8E5EF-FE9F-48CE-B2A2-E593560C3AA4}"/>
</file>

<file path=customXml/itemProps3.xml><?xml version="1.0" encoding="utf-8"?>
<ds:datastoreItem xmlns:ds="http://schemas.openxmlformats.org/officeDocument/2006/customXml" ds:itemID="{E9A7B022-8B7A-4D38-9131-E46E6598AB65}"/>
</file>

<file path=docProps/app.xml><?xml version="1.0" encoding="utf-8"?>
<Properties xmlns="http://schemas.openxmlformats.org/officeDocument/2006/extended-properties" xmlns:vt="http://schemas.openxmlformats.org/officeDocument/2006/docPropsVTypes">
  <Template>Normal</Template>
  <TotalTime>72</TotalTime>
  <Pages>4</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test</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Withers,Benjamin</dc:creator>
  <cp:keywords/>
  <dc:description/>
  <cp:lastModifiedBy>Withers,Benjamin</cp:lastModifiedBy>
  <cp:revision>2</cp:revision>
  <dcterms:created xsi:type="dcterms:W3CDTF">2020-04-26T20:12:00Z</dcterms:created>
  <dcterms:modified xsi:type="dcterms:W3CDTF">2020-04-26T21:34:00Z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